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E8CC" w14:textId="77777777" w:rsidR="00777B57" w:rsidRPr="00F00638" w:rsidRDefault="00777B57" w:rsidP="00777B57">
      <w:pPr>
        <w:ind w:firstLine="840"/>
        <w:jc w:val="right"/>
        <w:rPr>
          <w:rFonts w:asciiTheme="minorBidi" w:hAnsiTheme="minorBidi" w:cstheme="minorBidi"/>
        </w:rPr>
      </w:pPr>
      <w:r>
        <w:rPr>
          <w:rFonts w:asciiTheme="minorBidi" w:hAnsiTheme="minorBidi"/>
        </w:rPr>
        <w:t xml:space="preserve">　</w:t>
      </w:r>
      <w:r>
        <w:rPr>
          <w:noProof/>
          <w:lang w:eastAsia="de-DE"/>
        </w:rPr>
        <w:drawing>
          <wp:inline distT="0" distB="0" distL="0" distR="0" wp14:anchorId="1430528A" wp14:editId="1CDB2EC2">
            <wp:extent cx="1343025" cy="2571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343025" cy="257175"/>
                    </a:xfrm>
                    <a:prstGeom prst="rect">
                      <a:avLst/>
                    </a:prstGeom>
                    <a:noFill/>
                    <a:ln>
                      <a:noFill/>
                    </a:ln>
                  </pic:spPr>
                </pic:pic>
              </a:graphicData>
            </a:graphic>
          </wp:inline>
        </w:drawing>
      </w:r>
    </w:p>
    <w:p w14:paraId="62BAC3E8" w14:textId="77777777" w:rsidR="00777B57" w:rsidRPr="001B1AC2" w:rsidRDefault="00777B57" w:rsidP="00777B57">
      <w:pPr>
        <w:jc w:val="right"/>
        <w:rPr>
          <w:rFonts w:asciiTheme="minorBidi" w:hAnsiTheme="minorBidi" w:cstheme="minorBidi"/>
          <w:bCs/>
          <w:sz w:val="10"/>
          <w:szCs w:val="10"/>
        </w:rPr>
      </w:pPr>
    </w:p>
    <w:p w14:paraId="31FA8767" w14:textId="57AFFC9F" w:rsidR="00777B57" w:rsidRPr="00777B57" w:rsidRDefault="00777B57" w:rsidP="00777B57">
      <w:pPr>
        <w:rPr>
          <w:rFonts w:ascii="Arial" w:hAnsi="Arial" w:cs="Arial"/>
          <w:bCs/>
          <w:sz w:val="20"/>
        </w:rPr>
      </w:pPr>
      <w:r>
        <w:rPr>
          <w:rFonts w:ascii="Arial" w:hAnsi="Arial"/>
          <w:sz w:val="24"/>
          <w:shd w:val="pct15" w:color="auto" w:fill="FFFFFF"/>
        </w:rPr>
        <w:t xml:space="preserve"> </w:t>
      </w:r>
      <w:r>
        <w:rPr>
          <w:rFonts w:ascii="Arial" w:hAnsi="Arial"/>
          <w:sz w:val="20"/>
          <w:shd w:val="pct15" w:color="auto" w:fill="FFFFFF"/>
        </w:rPr>
        <w:t>Pressemitteilung – zur sofortigen Veröffentlichung</w:t>
      </w:r>
      <w:r>
        <w:rPr>
          <w:rFonts w:ascii="Arial" w:hAnsi="Arial"/>
          <w:sz w:val="20"/>
          <w:shd w:val="pct15" w:color="auto" w:fill="FFFFFF"/>
        </w:rPr>
        <w:t xml:space="preserve">　　　　　　　</w:t>
      </w:r>
      <w:r>
        <w:rPr>
          <w:rFonts w:ascii="Arial" w:hAnsi="Arial"/>
          <w:sz w:val="20"/>
          <w:shd w:val="pct15" w:color="auto" w:fill="FFFFFF"/>
        </w:rPr>
        <w:t xml:space="preserve">                              </w:t>
      </w:r>
      <w:r>
        <w:rPr>
          <w:rFonts w:ascii="Arial" w:hAnsi="Arial"/>
          <w:sz w:val="20"/>
          <w:shd w:val="pct15" w:color="auto" w:fill="FFFFFF"/>
        </w:rPr>
        <w:t xml:space="preserve">　　　</w:t>
      </w:r>
      <w:r>
        <w:rPr>
          <w:rFonts w:ascii="Arial" w:hAnsi="Arial"/>
          <w:sz w:val="20"/>
          <w:shd w:val="pct15" w:color="auto" w:fill="FFFFFF"/>
        </w:rPr>
        <w:t xml:space="preserve">    </w:t>
      </w:r>
      <w:r>
        <w:rPr>
          <w:rFonts w:ascii="Arial" w:hAnsi="Arial"/>
          <w:sz w:val="20"/>
          <w:shd w:val="pct15" w:color="auto" w:fill="FFFFFF"/>
        </w:rPr>
        <w:t xml:space="preserve">　　</w:t>
      </w:r>
      <w:r>
        <w:rPr>
          <w:rFonts w:ascii="Arial" w:hAnsi="Arial"/>
          <w:sz w:val="20"/>
          <w:shd w:val="pct15" w:color="auto" w:fill="FFFFFF"/>
        </w:rPr>
        <w:t xml:space="preserve">     </w:t>
      </w:r>
      <w:r>
        <w:rPr>
          <w:rFonts w:ascii="Arial" w:hAnsi="Arial"/>
          <w:sz w:val="20"/>
          <w:shd w:val="pct15" w:color="auto" w:fill="FFFFFF"/>
        </w:rPr>
        <w:t xml:space="preserve">　　　</w:t>
      </w:r>
      <w:r>
        <w:rPr>
          <w:rFonts w:ascii="Arial" w:hAnsi="Arial"/>
          <w:sz w:val="20"/>
          <w:shd w:val="pct15" w:color="auto" w:fill="FFFFFF"/>
        </w:rPr>
        <w:t xml:space="preserve"> </w:t>
      </w:r>
      <w:r>
        <w:rPr>
          <w:rFonts w:ascii="Arial" w:hAnsi="Arial"/>
          <w:sz w:val="20"/>
          <w:shd w:val="pct15" w:color="auto" w:fill="FFFFFF"/>
        </w:rPr>
        <w:t xml:space="preserve">　　　　　　</w:t>
      </w:r>
      <w:r>
        <w:rPr>
          <w:rFonts w:ascii="Arial" w:hAnsi="Arial"/>
          <w:sz w:val="20"/>
          <w:shd w:val="pct15" w:color="auto" w:fill="FFFFFF"/>
        </w:rPr>
        <w:t xml:space="preserve"> </w:t>
      </w:r>
    </w:p>
    <w:p w14:paraId="73295860" w14:textId="77777777" w:rsidR="00777B57" w:rsidRDefault="00777B57" w:rsidP="00777B57">
      <w:pPr>
        <w:rPr>
          <w:rFonts w:asciiTheme="minorBidi" w:hAnsiTheme="minorBidi" w:cstheme="minorBidi"/>
          <w:b/>
          <w:sz w:val="24"/>
          <w:szCs w:val="24"/>
        </w:rPr>
      </w:pPr>
    </w:p>
    <w:p w14:paraId="1CB1D64D" w14:textId="5C70B64C" w:rsidR="005B2AB5" w:rsidRDefault="00400B7A">
      <w:pPr>
        <w:rPr>
          <w:rFonts w:ascii="Arial" w:hAnsi="Arial" w:cs="Arial"/>
        </w:rPr>
      </w:pPr>
    </w:p>
    <w:p w14:paraId="7A0D55C3" w14:textId="1039AA2B" w:rsidR="00777B57" w:rsidRDefault="00777B57">
      <w:pPr>
        <w:rPr>
          <w:rFonts w:ascii="Arial" w:hAnsi="Arial" w:cs="Arial"/>
          <w:b/>
          <w:bCs/>
          <w:sz w:val="30"/>
          <w:szCs w:val="30"/>
        </w:rPr>
      </w:pPr>
      <w:r>
        <w:rPr>
          <w:rFonts w:ascii="Arial" w:hAnsi="Arial"/>
          <w:b/>
          <w:sz w:val="30"/>
        </w:rPr>
        <w:t xml:space="preserve">Mimaki erweitert sein Sortiment an LED-UV-Inkjet-Flachbettdruckern durch zwei schnelle Modelle </w:t>
      </w:r>
      <w:r w:rsidR="009A76B8">
        <w:rPr>
          <w:rFonts w:ascii="Arial" w:hAnsi="Arial"/>
          <w:b/>
          <w:sz w:val="30"/>
        </w:rPr>
        <w:t>mit großem Farbraum</w:t>
      </w:r>
    </w:p>
    <w:p w14:paraId="5A9CE240" w14:textId="647E7A33" w:rsidR="00F94D19" w:rsidRPr="00031415" w:rsidRDefault="00F94D19" w:rsidP="00F94D19">
      <w:pPr>
        <w:spacing w:before="240" w:afterLines="50" w:after="120" w:line="276" w:lineRule="auto"/>
        <w:rPr>
          <w:rStyle w:val="Hyperlink"/>
          <w:rFonts w:ascii="Arial" w:hAnsi="Arial" w:cs="Arial"/>
          <w:sz w:val="20"/>
        </w:rPr>
      </w:pPr>
      <w:r>
        <w:rPr>
          <w:rFonts w:ascii="Arial" w:hAnsi="Arial"/>
          <w:sz w:val="20"/>
        </w:rPr>
        <w:t>Amsterdam, 20. April 20</w:t>
      </w:r>
      <w:r w:rsidR="009C67A2">
        <w:rPr>
          <w:rFonts w:ascii="Arial" w:hAnsi="Arial"/>
          <w:sz w:val="20"/>
        </w:rPr>
        <w:t>21</w:t>
      </w:r>
    </w:p>
    <w:p w14:paraId="25C2F959" w14:textId="3E894C04" w:rsidR="00777B57" w:rsidRPr="00877F6C" w:rsidRDefault="00400B7A">
      <w:pPr>
        <w:rPr>
          <w:rFonts w:ascii="Arial" w:hAnsi="Arial" w:cs="Arial"/>
          <w:sz w:val="20"/>
        </w:rPr>
      </w:pPr>
      <w:hyperlink r:id="rId7" w:history="1">
        <w:r w:rsidR="00C35035">
          <w:rPr>
            <w:rStyle w:val="Hyperlink"/>
            <w:rFonts w:ascii="Arial" w:hAnsi="Arial"/>
            <w:sz w:val="20"/>
            <w:shd w:val="clear" w:color="auto" w:fill="FFFFFF"/>
          </w:rPr>
          <w:t>Mimaki Europe</w:t>
        </w:r>
      </w:hyperlink>
      <w:r w:rsidR="00C35035">
        <w:rPr>
          <w:rFonts w:ascii="Arial" w:hAnsi="Arial"/>
          <w:color w:val="000000" w:themeColor="text1"/>
          <w:sz w:val="20"/>
          <w:shd w:val="clear" w:color="auto" w:fill="FFFFFF"/>
        </w:rPr>
        <w:t>, ein führender Hersteller von Inkjetdruckern und Schneidesystemen für das Großformat, gab heute die Markteinführung von zwei neuen LED-UV-Inkjet-Flachbettdruckern für das Großformat, des JFX600-2513 und des JFX550-2513, bekannt. Beide neuen Modelle, die nach dem Sommer 2021 erhältlich sein werden, sind für hohe Geschwindigkeit und Produktivität ausgelegt. Dank einer größeren Auswahl an Tintentypen und der höheren Medienflexibilität bieten sie Druckdienstleistern ein breiteres Spektrum an Anwendungsmöglichk</w:t>
      </w:r>
      <w:r w:rsidR="009A76B8">
        <w:rPr>
          <w:rFonts w:ascii="Arial" w:hAnsi="Arial"/>
          <w:color w:val="000000" w:themeColor="text1"/>
          <w:sz w:val="20"/>
          <w:shd w:val="clear" w:color="auto" w:fill="FFFFFF"/>
        </w:rPr>
        <w:t>eiten.</w:t>
      </w:r>
    </w:p>
    <w:p w14:paraId="415BB3C4" w14:textId="760C4476" w:rsidR="00777B57" w:rsidRPr="00877F6C" w:rsidRDefault="00777B57">
      <w:pPr>
        <w:rPr>
          <w:rFonts w:ascii="Arial" w:hAnsi="Arial" w:cs="Arial"/>
          <w:color w:val="000000" w:themeColor="text1"/>
          <w:sz w:val="20"/>
          <w:shd w:val="clear" w:color="auto" w:fill="FFFFFF"/>
        </w:rPr>
      </w:pPr>
    </w:p>
    <w:p w14:paraId="4FAB5009" w14:textId="6C7F0719" w:rsidR="00777B57" w:rsidRPr="00877F6C" w:rsidRDefault="00777B57">
      <w:pPr>
        <w:rPr>
          <w:rFonts w:ascii="Arial" w:hAnsi="Arial" w:cs="Arial"/>
          <w:color w:val="000000" w:themeColor="text1"/>
          <w:sz w:val="20"/>
          <w:shd w:val="clear" w:color="auto" w:fill="FFFFFF"/>
        </w:rPr>
      </w:pPr>
      <w:r>
        <w:rPr>
          <w:rFonts w:ascii="Arial" w:hAnsi="Arial"/>
          <w:color w:val="000000" w:themeColor="text1"/>
          <w:sz w:val="20"/>
          <w:shd w:val="clear" w:color="auto" w:fill="FFFFFF"/>
        </w:rPr>
        <w:t xml:space="preserve">Der JFX600-2513 und der JFX550-2513 basieren auf dem großformatigen UV-Inkjet-Flachbettdrucker JFX500-2131, der seit 2012 erfolgreich auf dem Markt ist. Diese neuen Modelle, die für den Highend-UV-Flachbett-Druckermarkt bestimmt sind, verfügen über eine weitaus höhere Anzahl von Druckköpfen. Dadurch erreicht der JFX600-2513 eine um mehr als 300 Prozent, der JFX550-2513 eine um </w:t>
      </w:r>
      <w:r w:rsidR="009A76B8">
        <w:rPr>
          <w:rFonts w:ascii="Arial" w:hAnsi="Arial"/>
          <w:color w:val="000000" w:themeColor="text1"/>
          <w:sz w:val="20"/>
          <w:shd w:val="clear" w:color="auto" w:fill="FFFFFF"/>
        </w:rPr>
        <w:t>mehr</w:t>
      </w:r>
      <w:r>
        <w:rPr>
          <w:rFonts w:ascii="Arial" w:hAnsi="Arial"/>
          <w:color w:val="000000" w:themeColor="text1"/>
          <w:sz w:val="20"/>
          <w:shd w:val="clear" w:color="auto" w:fill="FFFFFF"/>
        </w:rPr>
        <w:t xml:space="preserve"> als 150 Prozent höhere Druckgeschwindigkeit als sein Vorgängermodell. Die vier Farben des JFX500-2131 wurden auf eine 6-Farben-Konfiguration erweitert. Die große Anzahl von Tintensätzen ermöglicht brillante Farben – perfekt für eindrucksvolle Schilder, Displays und Grafiken für den Innen- und Außenbereich. </w:t>
      </w:r>
    </w:p>
    <w:p w14:paraId="3B74DA9D" w14:textId="7C8DE509" w:rsidR="008037CC" w:rsidRPr="00877F6C" w:rsidRDefault="008037CC">
      <w:pPr>
        <w:rPr>
          <w:rFonts w:ascii="Arial" w:hAnsi="Arial" w:cs="Arial"/>
          <w:color w:val="000000" w:themeColor="text1"/>
          <w:sz w:val="20"/>
          <w:shd w:val="clear" w:color="auto" w:fill="FFFFFF"/>
        </w:rPr>
      </w:pPr>
    </w:p>
    <w:p w14:paraId="6F709DE0" w14:textId="320CE956" w:rsidR="00D13A2E" w:rsidRPr="00877F6C" w:rsidRDefault="00AE3CC9" w:rsidP="00D13A2E">
      <w:pPr>
        <w:rPr>
          <w:rFonts w:ascii="Arial" w:hAnsi="Arial" w:cs="Arial"/>
          <w:color w:val="000000" w:themeColor="text1"/>
          <w:sz w:val="20"/>
        </w:rPr>
      </w:pPr>
      <w:r>
        <w:rPr>
          <w:rFonts w:ascii="Arial" w:hAnsi="Arial"/>
          <w:color w:val="000000" w:themeColor="text1"/>
          <w:sz w:val="20"/>
          <w:shd w:val="clear" w:color="auto" w:fill="FFFFFF"/>
        </w:rPr>
        <w:t xml:space="preserve">Die vielfältigen Medien, die diese neuen Modelle aufgrund Mimakis UV-Drucktechnologie der </w:t>
      </w:r>
      <w:r w:rsidR="00015605">
        <w:rPr>
          <w:rFonts w:ascii="Arial" w:hAnsi="Arial"/>
          <w:color w:val="000000" w:themeColor="text1"/>
          <w:sz w:val="20"/>
          <w:shd w:val="clear" w:color="auto" w:fill="FFFFFF"/>
        </w:rPr>
        <w:t>siebten</w:t>
      </w:r>
      <w:r>
        <w:rPr>
          <w:rFonts w:ascii="Arial" w:hAnsi="Arial"/>
          <w:color w:val="000000" w:themeColor="text1"/>
          <w:sz w:val="20"/>
          <w:shd w:val="clear" w:color="auto" w:fill="FFFFFF"/>
        </w:rPr>
        <w:t xml:space="preserve"> Generation unterstützen, eröffnen eine Fülle von Anwendungsmöglichkeiten, wie u. a. großformatige </w:t>
      </w:r>
      <w:r>
        <w:rPr>
          <w:rFonts w:ascii="Arial" w:hAnsi="Arial"/>
          <w:color w:val="000000" w:themeColor="text1"/>
          <w:sz w:val="20"/>
        </w:rPr>
        <w:t xml:space="preserve">Schilder, Displays und Materialien für die Innenraumgestaltung. Mit einer maximalen Druckbreite von 2,5 m x 1,3 m und einer Medienstärke von 6 cm sind der JFX600-2513 und der JFX550-2513 perfekt für die Herstellung von Schildern im Standardformat geeignet und können Substrate wie Harz, Holz, Glas und Metall direkt bedrucken. </w:t>
      </w:r>
      <w:r w:rsidR="009A76B8">
        <w:rPr>
          <w:rFonts w:ascii="Arial" w:hAnsi="Arial"/>
          <w:color w:val="000000" w:themeColor="text1"/>
          <w:sz w:val="20"/>
        </w:rPr>
        <w:t>Da b</w:t>
      </w:r>
      <w:r>
        <w:rPr>
          <w:rFonts w:ascii="Arial" w:hAnsi="Arial"/>
          <w:color w:val="000000" w:themeColor="text1"/>
          <w:sz w:val="20"/>
        </w:rPr>
        <w:t xml:space="preserve">eide Drucker den mehrschichtigen „2,5D“-Druck </w:t>
      </w:r>
      <w:r w:rsidR="009A76B8">
        <w:rPr>
          <w:rFonts w:ascii="Arial" w:hAnsi="Arial"/>
          <w:color w:val="000000" w:themeColor="text1"/>
          <w:sz w:val="20"/>
        </w:rPr>
        <w:t xml:space="preserve">unterstützen, können sie </w:t>
      </w:r>
      <w:r>
        <w:rPr>
          <w:rFonts w:ascii="Arial" w:hAnsi="Arial"/>
          <w:color w:val="000000" w:themeColor="text1"/>
          <w:sz w:val="20"/>
        </w:rPr>
        <w:t>Struktureffekte für hochwertige, taktile Anwendungen</w:t>
      </w:r>
      <w:r w:rsidR="009A76B8">
        <w:rPr>
          <w:rFonts w:ascii="Arial" w:hAnsi="Arial"/>
          <w:color w:val="000000" w:themeColor="text1"/>
          <w:sz w:val="20"/>
        </w:rPr>
        <w:t xml:space="preserve"> erzeugen</w:t>
      </w:r>
      <w:r>
        <w:rPr>
          <w:rFonts w:ascii="Arial" w:hAnsi="Arial"/>
          <w:color w:val="000000" w:themeColor="text1"/>
          <w:sz w:val="20"/>
        </w:rPr>
        <w:t>.</w:t>
      </w:r>
    </w:p>
    <w:p w14:paraId="64A4D5C6" w14:textId="77777777" w:rsidR="00D13A2E" w:rsidRPr="00877F6C" w:rsidRDefault="00D13A2E">
      <w:pPr>
        <w:rPr>
          <w:rFonts w:ascii="Arial" w:hAnsi="Arial" w:cs="Arial"/>
          <w:color w:val="000000" w:themeColor="text1"/>
          <w:sz w:val="20"/>
        </w:rPr>
      </w:pPr>
    </w:p>
    <w:p w14:paraId="09059282" w14:textId="139C42B2" w:rsidR="008004F8" w:rsidRPr="00877F6C" w:rsidRDefault="006313EF">
      <w:pPr>
        <w:rPr>
          <w:rFonts w:ascii="Arial" w:hAnsi="Arial" w:cs="Arial"/>
          <w:color w:val="000000" w:themeColor="text1"/>
          <w:sz w:val="20"/>
          <w:shd w:val="clear" w:color="auto" w:fill="FFFFFF"/>
        </w:rPr>
      </w:pPr>
      <w:r>
        <w:rPr>
          <w:rFonts w:ascii="Arial" w:hAnsi="Arial"/>
          <w:color w:val="000000" w:themeColor="text1"/>
          <w:sz w:val="20"/>
        </w:rPr>
        <w:t xml:space="preserve">Bert Benckhuysen, Senior Product Manager bei Mimaki Europe, </w:t>
      </w:r>
      <w:r w:rsidRPr="009C67A2">
        <w:rPr>
          <w:rFonts w:ascii="Arial" w:hAnsi="Arial"/>
          <w:sz w:val="20"/>
        </w:rPr>
        <w:t xml:space="preserve">erklärt: </w:t>
      </w:r>
      <w:r>
        <w:rPr>
          <w:rFonts w:ascii="Arial" w:hAnsi="Arial"/>
          <w:color w:val="000000" w:themeColor="text1"/>
          <w:sz w:val="20"/>
        </w:rPr>
        <w:t>„Aufgrund ihrer höheren Geschwindigkeit</w:t>
      </w:r>
      <w:r w:rsidR="005F0CEB">
        <w:rPr>
          <w:rFonts w:ascii="Arial" w:hAnsi="Arial"/>
          <w:color w:val="000000" w:themeColor="text1"/>
          <w:sz w:val="20"/>
        </w:rPr>
        <w:t xml:space="preserve">, ihres größeren Farbraums und </w:t>
      </w:r>
      <w:r w:rsidR="00B063DF">
        <w:rPr>
          <w:rFonts w:ascii="Arial" w:hAnsi="Arial"/>
          <w:color w:val="000000" w:themeColor="text1"/>
          <w:sz w:val="20"/>
        </w:rPr>
        <w:t xml:space="preserve">der </w:t>
      </w:r>
      <w:r w:rsidRPr="009C67A2">
        <w:rPr>
          <w:rFonts w:ascii="Arial" w:hAnsi="Arial"/>
          <w:sz w:val="20"/>
        </w:rPr>
        <w:t xml:space="preserve">größeren </w:t>
      </w:r>
      <w:r>
        <w:rPr>
          <w:rFonts w:ascii="Arial" w:hAnsi="Arial"/>
          <w:color w:val="000000" w:themeColor="text1"/>
          <w:sz w:val="20"/>
        </w:rPr>
        <w:t xml:space="preserve">Auswahl </w:t>
      </w:r>
      <w:r w:rsidR="009A0423">
        <w:rPr>
          <w:rFonts w:ascii="Arial" w:hAnsi="Arial"/>
          <w:color w:val="000000" w:themeColor="text1"/>
          <w:sz w:val="20"/>
        </w:rPr>
        <w:t xml:space="preserve">von </w:t>
      </w:r>
      <w:r w:rsidR="00B770B2" w:rsidRPr="009C67A2">
        <w:rPr>
          <w:rFonts w:ascii="Arial" w:hAnsi="Arial"/>
          <w:sz w:val="20"/>
        </w:rPr>
        <w:t>Materialien</w:t>
      </w:r>
      <w:r w:rsidRPr="009C67A2">
        <w:rPr>
          <w:rFonts w:ascii="Arial" w:hAnsi="Arial"/>
          <w:sz w:val="20"/>
        </w:rPr>
        <w:t xml:space="preserve"> </w:t>
      </w:r>
      <w:r>
        <w:rPr>
          <w:rFonts w:ascii="Arial" w:hAnsi="Arial"/>
          <w:color w:val="000000" w:themeColor="text1"/>
          <w:sz w:val="20"/>
        </w:rPr>
        <w:t xml:space="preserve">eröffnen </w:t>
      </w:r>
      <w:r>
        <w:rPr>
          <w:rFonts w:ascii="Arial" w:hAnsi="Arial"/>
          <w:color w:val="000000" w:themeColor="text1"/>
          <w:sz w:val="20"/>
          <w:shd w:val="clear" w:color="auto" w:fill="FFFFFF"/>
        </w:rPr>
        <w:t xml:space="preserve">JFX600-2513 und JFX550-2513 eine Welt neuer Möglichkeiten. Als Marktführer im Großformat-UV-Flachbettdruck fühlt sich Mimaki durch die Kreativität und Beharrlichkeit seiner Kunden zur ständigen Innovation und </w:t>
      </w:r>
      <w:r w:rsidR="009A0423">
        <w:rPr>
          <w:rFonts w:ascii="Arial" w:hAnsi="Arial"/>
          <w:color w:val="000000" w:themeColor="text1"/>
          <w:sz w:val="20"/>
          <w:shd w:val="clear" w:color="auto" w:fill="FFFFFF"/>
        </w:rPr>
        <w:t xml:space="preserve">kontinuierlichen </w:t>
      </w:r>
      <w:r>
        <w:rPr>
          <w:rFonts w:ascii="Arial" w:hAnsi="Arial"/>
          <w:color w:val="000000" w:themeColor="text1"/>
          <w:sz w:val="20"/>
          <w:shd w:val="clear" w:color="auto" w:fill="FFFFFF"/>
        </w:rPr>
        <w:t>Optimierung seiner Technologie beflügelt. Auf der Grundlage des außerordentlich erfolgreichen Vorgängermodells JFX500-</w:t>
      </w:r>
      <w:r w:rsidRPr="00935C97">
        <w:rPr>
          <w:rFonts w:ascii="Arial" w:hAnsi="Arial"/>
          <w:sz w:val="20"/>
          <w:shd w:val="clear" w:color="auto" w:fill="FFFFFF"/>
        </w:rPr>
        <w:t>2131</w:t>
      </w:r>
      <w:r w:rsidR="00935C97">
        <w:rPr>
          <w:rFonts w:ascii="Arial" w:hAnsi="Arial"/>
          <w:sz w:val="20"/>
          <w:shd w:val="clear" w:color="auto" w:fill="FFFFFF"/>
        </w:rPr>
        <w:t xml:space="preserve"> </w:t>
      </w:r>
      <w:r w:rsidRPr="00935C97">
        <w:rPr>
          <w:rFonts w:ascii="Arial" w:hAnsi="Arial"/>
          <w:color w:val="000000" w:themeColor="text1"/>
          <w:sz w:val="20"/>
          <w:shd w:val="clear" w:color="auto" w:fill="FFFFFF"/>
        </w:rPr>
        <w:t>haben</w:t>
      </w:r>
      <w:r>
        <w:rPr>
          <w:rFonts w:ascii="Arial" w:hAnsi="Arial"/>
          <w:color w:val="000000" w:themeColor="text1"/>
          <w:sz w:val="20"/>
          <w:shd w:val="clear" w:color="auto" w:fill="FFFFFF"/>
        </w:rPr>
        <w:t xml:space="preserve"> wir die Grenzen </w:t>
      </w:r>
      <w:r w:rsidR="00A543B2">
        <w:rPr>
          <w:rFonts w:ascii="Arial" w:hAnsi="Arial"/>
          <w:color w:val="000000" w:themeColor="text1"/>
          <w:sz w:val="20"/>
          <w:shd w:val="clear" w:color="auto" w:fill="FFFFFF"/>
        </w:rPr>
        <w:t xml:space="preserve">des technisch Machbaren </w:t>
      </w:r>
      <w:r>
        <w:rPr>
          <w:rFonts w:ascii="Arial" w:hAnsi="Arial"/>
          <w:color w:val="000000" w:themeColor="text1"/>
          <w:sz w:val="20"/>
          <w:shd w:val="clear" w:color="auto" w:fill="FFFFFF"/>
        </w:rPr>
        <w:t xml:space="preserve">weiter ausgereizt und mit zwei weiteren </w:t>
      </w:r>
      <w:r w:rsidR="00A543B2">
        <w:rPr>
          <w:rFonts w:ascii="Arial" w:hAnsi="Arial"/>
          <w:color w:val="000000" w:themeColor="text1"/>
          <w:sz w:val="20"/>
          <w:shd w:val="clear" w:color="auto" w:fill="FFFFFF"/>
        </w:rPr>
        <w:t xml:space="preserve">äußerst produktiven und vielseitigen </w:t>
      </w:r>
      <w:r>
        <w:rPr>
          <w:rFonts w:ascii="Arial" w:hAnsi="Arial"/>
          <w:color w:val="000000" w:themeColor="text1"/>
          <w:sz w:val="20"/>
          <w:shd w:val="clear" w:color="auto" w:fill="FFFFFF"/>
        </w:rPr>
        <w:t xml:space="preserve">LED-UV-Flachbett-Inkjetdruckern </w:t>
      </w:r>
      <w:r w:rsidR="001541E3" w:rsidRPr="009C67A2">
        <w:rPr>
          <w:rFonts w:ascii="Arial" w:hAnsi="Arial"/>
          <w:sz w:val="20"/>
          <w:shd w:val="clear" w:color="auto" w:fill="FFFFFF"/>
        </w:rPr>
        <w:t>erweitert</w:t>
      </w:r>
      <w:r>
        <w:rPr>
          <w:rFonts w:ascii="Arial" w:hAnsi="Arial"/>
          <w:color w:val="000000" w:themeColor="text1"/>
          <w:sz w:val="20"/>
          <w:shd w:val="clear" w:color="auto" w:fill="FFFFFF"/>
        </w:rPr>
        <w:t xml:space="preserve">.“ </w:t>
      </w:r>
    </w:p>
    <w:p w14:paraId="24E3ADF5" w14:textId="4D955FA7" w:rsidR="003C75A1" w:rsidRPr="00877F6C" w:rsidRDefault="003C75A1">
      <w:pPr>
        <w:rPr>
          <w:rFonts w:ascii="Arial" w:hAnsi="Arial" w:cs="Arial"/>
          <w:color w:val="000000" w:themeColor="text1"/>
          <w:sz w:val="20"/>
        </w:rPr>
      </w:pPr>
    </w:p>
    <w:p w14:paraId="5146A2B2" w14:textId="54EF5BDF" w:rsidR="001F6010" w:rsidRDefault="003C75A1">
      <w:pPr>
        <w:rPr>
          <w:rFonts w:ascii="Arial" w:hAnsi="Arial" w:cs="Arial"/>
          <w:color w:val="000000" w:themeColor="text1"/>
          <w:sz w:val="20"/>
        </w:rPr>
      </w:pPr>
      <w:r>
        <w:rPr>
          <w:rFonts w:ascii="Arial" w:hAnsi="Arial"/>
          <w:color w:val="000000" w:themeColor="text1"/>
          <w:sz w:val="20"/>
        </w:rPr>
        <w:t xml:space="preserve">Die UV-härtenden Tinten, die für den JFX600-2513 und den JFX550-2513 entwickelt wurden, haben die „GREENGUARD Gold“-Zertifizierung. Diese Zertifizierung bescheinigt, dass die Tinten die strengen Auflagen und hohen Umweltschutzanforderungen für Chemikalien einhalten, die von der unabhängigen Sicherheitsorganisation UL festgelegt wurden. Außerdem </w:t>
      </w:r>
      <w:r>
        <w:rPr>
          <w:rFonts w:ascii="Arial" w:hAnsi="Arial"/>
          <w:sz w:val="20"/>
        </w:rPr>
        <w:t xml:space="preserve">unterstützen die neuen Modelle die „MDL-Befehle“ von Mimaki, durch die sich die Maschinen über Peripheriegeräte steuern lassen. Sie ermöglichen die Ermittlung der Tintenstände, die Erkennung von Fehlern, die Kontrolle der Tischposition und </w:t>
      </w:r>
      <w:r w:rsidR="00A543B2">
        <w:rPr>
          <w:rFonts w:ascii="Arial" w:hAnsi="Arial"/>
          <w:sz w:val="20"/>
        </w:rPr>
        <w:t>-</w:t>
      </w:r>
      <w:r>
        <w:rPr>
          <w:rFonts w:ascii="Arial" w:hAnsi="Arial"/>
          <w:sz w:val="20"/>
        </w:rPr>
        <w:t xml:space="preserve">höhe sowie das Management von Druckvorstufen-, Druck- und Weiterverarbeitungsvorgängen und der Materialzufuhr und die Erfassung der Druckprodukte nach der Ausgabe. </w:t>
      </w:r>
      <w:r w:rsidR="00935C97" w:rsidRPr="00935C97">
        <w:rPr>
          <w:rFonts w:ascii="Arial" w:hAnsi="Arial"/>
          <w:sz w:val="20"/>
        </w:rPr>
        <w:t>Damit entsprechen beide JFX-Maschinen den Anforderungen von Industrie 4.0 und lassen sich in einen automatisierten Workflow integrieren.</w:t>
      </w:r>
    </w:p>
    <w:p w14:paraId="113C2D5D" w14:textId="4CA50CF8" w:rsidR="00977DF4" w:rsidRDefault="00977DF4">
      <w:pPr>
        <w:rPr>
          <w:rFonts w:ascii="Arial" w:hAnsi="Arial" w:cs="Arial"/>
          <w:color w:val="000000" w:themeColor="text1"/>
          <w:sz w:val="20"/>
          <w:shd w:val="clear" w:color="auto" w:fill="FFFFFF"/>
        </w:rPr>
      </w:pPr>
    </w:p>
    <w:p w14:paraId="72EF6B2B" w14:textId="17E0B915" w:rsidR="00977DF4" w:rsidRDefault="00977DF4">
      <w:pPr>
        <w:rPr>
          <w:rFonts w:ascii="Arial" w:hAnsi="Arial" w:cs="Arial"/>
          <w:b/>
          <w:bCs/>
          <w:color w:val="000000" w:themeColor="text1"/>
          <w:sz w:val="20"/>
        </w:rPr>
      </w:pPr>
    </w:p>
    <w:p w14:paraId="57AAF6F0" w14:textId="77777777" w:rsidR="008004F8" w:rsidRPr="002E31D4" w:rsidRDefault="008004F8" w:rsidP="008004F8">
      <w:pPr>
        <w:rPr>
          <w:rFonts w:ascii="Arial" w:hAnsi="Arial" w:cs="Arial"/>
          <w:snapToGrid w:val="0"/>
          <w:color w:val="000000"/>
          <w:position w:val="-2"/>
          <w:sz w:val="20"/>
        </w:rPr>
      </w:pPr>
      <w:r>
        <w:rPr>
          <w:rFonts w:ascii="Arial" w:hAnsi="Arial"/>
          <w:snapToGrid w:val="0"/>
          <w:color w:val="000000"/>
          <w:sz w:val="20"/>
        </w:rPr>
        <w:t xml:space="preserve">Weitere Informationen zu Produkten und Dienstleistungen von Mimaki finden Sie auf </w:t>
      </w:r>
      <w:hyperlink r:id="rId8" w:history="1">
        <w:r>
          <w:rPr>
            <w:rStyle w:val="Hyperlink"/>
            <w:rFonts w:ascii="Arial" w:hAnsi="Arial"/>
            <w:snapToGrid w:val="0"/>
            <w:sz w:val="20"/>
          </w:rPr>
          <w:t>www.mimakieurope.com</w:t>
        </w:r>
      </w:hyperlink>
      <w:r>
        <w:rPr>
          <w:rFonts w:ascii="Arial" w:hAnsi="Arial"/>
          <w:snapToGrid w:val="0"/>
          <w:color w:val="000000"/>
          <w:sz w:val="20"/>
        </w:rPr>
        <w:t>.</w:t>
      </w:r>
    </w:p>
    <w:p w14:paraId="54D03BB0" w14:textId="7170DED2" w:rsidR="008004F8" w:rsidRDefault="008004F8" w:rsidP="008004F8">
      <w:pPr>
        <w:rPr>
          <w:rFonts w:ascii="Arial" w:eastAsia="Times New Roman" w:hAnsi="Arial" w:cs="Arial"/>
          <w:color w:val="000000" w:themeColor="text1"/>
          <w:sz w:val="20"/>
        </w:rPr>
      </w:pPr>
    </w:p>
    <w:p w14:paraId="1221088A" w14:textId="73865DDA" w:rsidR="003A64EE" w:rsidRDefault="003A64EE" w:rsidP="008004F8">
      <w:pPr>
        <w:rPr>
          <w:rFonts w:ascii="Arial" w:eastAsia="Times New Roman" w:hAnsi="Arial" w:cs="Arial"/>
          <w:color w:val="000000" w:themeColor="text1"/>
          <w:sz w:val="20"/>
        </w:rPr>
      </w:pPr>
      <w:r>
        <w:rPr>
          <w:rFonts w:ascii="Arial" w:hAnsi="Arial"/>
          <w:noProof/>
          <w:color w:val="000000"/>
          <w:sz w:val="22"/>
          <w:lang w:eastAsia="de-DE"/>
        </w:rPr>
        <mc:AlternateContent>
          <mc:Choice Requires="wps">
            <w:drawing>
              <wp:anchor distT="0" distB="0" distL="114300" distR="114300" simplePos="0" relativeHeight="251659264" behindDoc="0" locked="0" layoutInCell="1" allowOverlap="1" wp14:anchorId="04CB6E42" wp14:editId="39221B24">
                <wp:simplePos x="0" y="0"/>
                <wp:positionH relativeFrom="margin">
                  <wp:posOffset>2609850</wp:posOffset>
                </wp:positionH>
                <wp:positionV relativeFrom="paragraph">
                  <wp:posOffset>590550</wp:posOffset>
                </wp:positionV>
                <wp:extent cx="3897630" cy="9525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3897630" cy="952500"/>
                        </a:xfrm>
                        <a:prstGeom prst="rect">
                          <a:avLst/>
                        </a:prstGeom>
                        <a:solidFill>
                          <a:schemeClr val="lt1"/>
                        </a:solidFill>
                        <a:ln w="6350">
                          <a:noFill/>
                        </a:ln>
                      </wps:spPr>
                      <wps:txbx>
                        <w:txbxContent>
                          <w:p w14:paraId="71B4CFCB" w14:textId="6C77F63D" w:rsidR="003A64EE" w:rsidRPr="008E7ACA" w:rsidRDefault="003A64EE" w:rsidP="003A64EE">
                            <w:pPr>
                              <w:rPr>
                                <w:rFonts w:ascii="Arial" w:hAnsi="Arial" w:cs="Arial"/>
                                <w:b/>
                                <w:i/>
                                <w:color w:val="000000"/>
                              </w:rPr>
                            </w:pPr>
                            <w:r>
                              <w:rPr>
                                <w:rFonts w:ascii="Arial" w:hAnsi="Arial"/>
                                <w:b/>
                                <w:i/>
                                <w:color w:val="000000"/>
                              </w:rPr>
                              <w:t>Der neue Mimaki JFX600-2513 ist ein</w:t>
                            </w:r>
                            <w:r>
                              <w:t xml:space="preserve"> </w:t>
                            </w:r>
                            <w:r>
                              <w:rPr>
                                <w:rFonts w:ascii="Arial" w:hAnsi="Arial"/>
                                <w:b/>
                                <w:i/>
                                <w:color w:val="000000"/>
                              </w:rPr>
                              <w:t>LED-UV-Inkjet-Flachbettdrucker für das Großformat, der sich durch hohe Druckgeschwindigkeit und Produktivität, einen größeren Farbraum und höhere Medienflexibilität für vielfältige Anwendungsmöglichkeiten auszeichnet.</w:t>
                            </w:r>
                          </w:p>
                          <w:p w14:paraId="4094815A" w14:textId="77777777" w:rsidR="003A64EE" w:rsidRPr="00FA3364" w:rsidRDefault="003A64EE" w:rsidP="003A64EE">
                            <w:pPr>
                              <w:spacing w:afterLines="30" w:after="72" w:line="276" w:lineRule="auto"/>
                              <w:ind w:rightChars="120" w:right="252"/>
                              <w:rPr>
                                <w:rFonts w:ascii="Arial" w:hAnsi="Arial" w:cs="Arial"/>
                                <w:b/>
                                <w: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B6E42" id="_x0000_t202" coordsize="21600,21600" o:spt="202" path="m,l,21600r21600,l21600,xe">
                <v:stroke joinstyle="miter"/>
                <v:path gradientshapeok="t" o:connecttype="rect"/>
              </v:shapetype>
              <v:shape id="Text Box 4" o:spid="_x0000_s1026" type="#_x0000_t202" style="position:absolute;left:0;text-align:left;margin-left:205.5pt;margin-top:46.5pt;width:306.9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" fillcolor="white [3201]" stroked="f" strokeweight=".5pt">
                <v:textbox>
                  <w:txbxContent>
                    <w:p w14:paraId="71B4CFCB" w14:textId="6C77F63D" w:rsidR="003A64EE" w:rsidRPr="008E7ACA" w:rsidRDefault="003A64EE" w:rsidP="003A64EE">
                      <w:pPr>
                        <w:rPr>
                          <w:b/>
                          <w:i/>
                          <w:color w:val="000000"/>
                          <w:rFonts w:ascii="Arial" w:hAnsi="Arial" w:cs="Arial"/>
                        </w:rPr>
                      </w:pPr>
                      <w:r>
                        <w:rPr>
                          <w:b/>
                          <w:i/>
                          <w:color w:val="000000"/>
                          <w:rFonts w:ascii="Arial" w:hAnsi="Arial"/>
                        </w:rPr>
                        <w:t xml:space="preserve">Der neue Mimaki JFX600-2513 ist ein</w:t>
                      </w:r>
                      <w:r>
                        <w:t xml:space="preserve"> </w:t>
                      </w:r>
                      <w:r>
                        <w:rPr>
                          <w:b/>
                          <w:i/>
                          <w:color w:val="000000"/>
                          <w:rFonts w:ascii="Arial" w:hAnsi="Arial"/>
                        </w:rPr>
                        <w:t xml:space="preserve">LED-UV-Inkjet-Flachbettdrucker für das Großformat, der sich durch hohe Druckgeschwindigkeit und Produktivität, einen größeren Farbraum und höhere Medienflexibilität für vielfältige Anwendungsmöglichkeiten auszeichnet.</w:t>
                      </w:r>
                    </w:p>
                    <w:p w14:paraId="4094815A" w14:textId="77777777" w:rsidR="003A64EE" w:rsidRPr="00FA3364" w:rsidRDefault="003A64EE" w:rsidP="003A64EE">
                      <w:pPr>
                        <w:spacing w:afterLines="30" w:after="72" w:line="276" w:lineRule="auto"/>
                        <w:ind w:rightChars="120" w:right="252"/>
                        <w:rPr>
                          <w:rFonts w:ascii="Arial" w:hAnsi="Arial" w:cs="Arial"/>
                          <w:b/>
                          <w:i/>
                          <w:sz w:val="18"/>
                          <w:szCs w:val="18"/>
                        </w:rPr>
                      </w:pPr>
                    </w:p>
                  </w:txbxContent>
                </v:textbox>
                <w10:wrap anchorx="margin"/>
              </v:shape>
            </w:pict>
          </mc:Fallback>
        </mc:AlternateContent>
      </w:r>
      <w:r>
        <w:rPr>
          <w:rFonts w:ascii="Arial" w:hAnsi="Arial"/>
          <w:noProof/>
          <w:color w:val="000000" w:themeColor="text1"/>
          <w:sz w:val="20"/>
          <w:lang w:eastAsia="de-DE"/>
        </w:rPr>
        <w:drawing>
          <wp:inline distT="0" distB="0" distL="0" distR="0" wp14:anchorId="1F4C8F5E" wp14:editId="3AC9F78C">
            <wp:extent cx="2790825" cy="1471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screen">
                      <a:extLst>
                        <a:ext uri="{28A0092B-C50C-407E-A947-70E740481C1C}">
                          <a14:useLocalDpi xmlns:a14="http://schemas.microsoft.com/office/drawing/2010/main"/>
                        </a:ext>
                      </a:extLst>
                    </a:blip>
                    <a:stretch>
                      <a:fillRect/>
                    </a:stretch>
                  </pic:blipFill>
                  <pic:spPr>
                    <a:xfrm>
                      <a:off x="0" y="0"/>
                      <a:ext cx="2803963" cy="1478764"/>
                    </a:xfrm>
                    <a:prstGeom prst="rect">
                      <a:avLst/>
                    </a:prstGeom>
                  </pic:spPr>
                </pic:pic>
              </a:graphicData>
            </a:graphic>
          </wp:inline>
        </w:drawing>
      </w:r>
    </w:p>
    <w:p w14:paraId="0930FAC1" w14:textId="0E344574" w:rsidR="003A64EE" w:rsidRDefault="003A64EE" w:rsidP="008004F8">
      <w:pPr>
        <w:rPr>
          <w:rFonts w:ascii="Arial" w:eastAsia="Times New Roman" w:hAnsi="Arial" w:cs="Arial"/>
          <w:color w:val="000000" w:themeColor="text1"/>
          <w:sz w:val="20"/>
        </w:rPr>
      </w:pPr>
    </w:p>
    <w:p w14:paraId="065918D5" w14:textId="77777777" w:rsidR="003A64EE" w:rsidRDefault="003A64EE" w:rsidP="008004F8">
      <w:pPr>
        <w:rPr>
          <w:rFonts w:ascii="Arial" w:eastAsia="Times New Roman" w:hAnsi="Arial" w:cs="Arial"/>
          <w:color w:val="000000" w:themeColor="text1"/>
          <w:sz w:val="20"/>
        </w:rPr>
      </w:pPr>
    </w:p>
    <w:p w14:paraId="443495D7" w14:textId="77777777" w:rsidR="00993F89" w:rsidRDefault="00993F89" w:rsidP="00993F89">
      <w:pPr>
        <w:spacing w:afterLines="30" w:after="72" w:line="276" w:lineRule="auto"/>
        <w:ind w:rightChars="120" w:right="252"/>
        <w:jc w:val="center"/>
        <w:rPr>
          <w:rFonts w:ascii="Arial" w:hAnsi="Arial" w:cs="Arial"/>
          <w:b/>
          <w:sz w:val="20"/>
        </w:rPr>
      </w:pPr>
      <w:r>
        <w:rPr>
          <w:rFonts w:ascii="Arial" w:hAnsi="Arial"/>
          <w:b/>
          <w:sz w:val="20"/>
        </w:rPr>
        <w:t>--- ENDE ---</w:t>
      </w:r>
    </w:p>
    <w:p w14:paraId="306520AA" w14:textId="77777777" w:rsidR="00993F89" w:rsidRDefault="00993F89" w:rsidP="00993F89">
      <w:pPr>
        <w:spacing w:afterLines="30" w:after="72" w:line="276" w:lineRule="auto"/>
        <w:ind w:rightChars="120" w:right="252"/>
        <w:jc w:val="center"/>
        <w:rPr>
          <w:rFonts w:ascii="Arial" w:hAnsi="Arial" w:cs="Arial"/>
          <w:b/>
          <w:sz w:val="20"/>
        </w:rPr>
      </w:pPr>
    </w:p>
    <w:p w14:paraId="32A2DF24" w14:textId="77777777" w:rsidR="00993F89" w:rsidRPr="001F5404" w:rsidRDefault="00993F89" w:rsidP="00993F89">
      <w:pPr>
        <w:spacing w:afterLines="30" w:after="72" w:line="276" w:lineRule="auto"/>
        <w:ind w:rightChars="120" w:right="252"/>
        <w:rPr>
          <w:rFonts w:ascii="Arial" w:eastAsia="MS Mincho" w:hAnsi="Arial" w:cs="Arial"/>
          <w:b/>
          <w:sz w:val="20"/>
        </w:rPr>
      </w:pPr>
      <w:r w:rsidRPr="001F5404">
        <w:rPr>
          <w:rFonts w:ascii="Arial" w:eastAsia="MS Mincho" w:hAnsi="Arial"/>
          <w:b/>
          <w:sz w:val="20"/>
        </w:rPr>
        <w:t>Über Mimaki</w:t>
      </w:r>
    </w:p>
    <w:p w14:paraId="2D574990" w14:textId="77777777" w:rsidR="00993F89" w:rsidRPr="00A60AF8" w:rsidRDefault="00993F89" w:rsidP="00993F89">
      <w:pPr>
        <w:rPr>
          <w:rFonts w:ascii="Arial" w:hAnsi="Arial" w:cs="Arial"/>
          <w:sz w:val="20"/>
        </w:rPr>
      </w:pPr>
      <w:r>
        <w:rPr>
          <w:rFonts w:ascii="Arial" w:hAnsi="Arial" w:cs="Arial"/>
          <w:sz w:val="20"/>
        </w:rPr>
        <w:t>Mimaki ist ein führender Hersteller von Großformat-Tintenstrahldruckern und Schneideplottern für die Bereiche Beschilderung/Grafik, Textil/Bekleidung, Industrie und 3D-Markt.</w:t>
      </w:r>
      <w:r w:rsidRPr="001F5404">
        <w:rPr>
          <w:rFonts w:ascii="Arial" w:eastAsia="MS Mincho" w:hAnsi="Arial"/>
          <w:sz w:val="20"/>
        </w:rPr>
        <w:t xml:space="preserve"> Für jeden Bereich entwickelt Mimaki die komplette Produktpalette – Hardware, Software und die zugehörigen Verbrauchsmaterialien wie Tinten und Schneidemesser. Das Angebot von Mimaki umfasst innovative, hochwertige und äußerst zuverlässige Produkte, die auf seiner bewährten Inkjet-Technologie für wasser- und lösemittelbasierte, Latex- und UV-härtende Tinten basieren. Um den zahlreichen Anwendungen im Markt noch besser gerecht zu werden, arbeitet Mimaki weiter an der Entwicklung hochmoderner On-Demand-Digitaldrucklösungen. Mimaki Engineering Co. Ltd., (Präsident: Kazuaki Ikeda) mit Sitz in Nagano (Japan) ist ein börsennotiertes Unternehmen an der Tokyo Stock Exchange, Inc.</w:t>
      </w:r>
    </w:p>
    <w:p w14:paraId="08ADD8DB" w14:textId="77777777" w:rsidR="00993F89" w:rsidRPr="001F5404" w:rsidRDefault="00993F89" w:rsidP="00993F89">
      <w:pPr>
        <w:spacing w:line="276" w:lineRule="auto"/>
        <w:ind w:rightChars="107" w:right="225"/>
        <w:rPr>
          <w:rFonts w:ascii="Arial" w:eastAsia="MS Mincho" w:hAnsi="Arial" w:cs="Arial"/>
          <w:sz w:val="20"/>
        </w:rPr>
      </w:pPr>
    </w:p>
    <w:p w14:paraId="1064FE3D" w14:textId="77777777" w:rsidR="00993F89" w:rsidRPr="001F5404" w:rsidRDefault="00993F89" w:rsidP="00993F89">
      <w:pPr>
        <w:spacing w:line="276" w:lineRule="auto"/>
        <w:ind w:rightChars="107" w:right="225"/>
        <w:rPr>
          <w:rFonts w:ascii="Arial" w:eastAsia="MS Mincho" w:hAnsi="Arial" w:cs="Arial"/>
          <w:sz w:val="20"/>
        </w:rPr>
      </w:pPr>
      <w:r w:rsidRPr="001F5404">
        <w:rPr>
          <w:rFonts w:ascii="Arial" w:eastAsia="MS Mincho" w:hAnsi="Arial"/>
          <w:sz w:val="20"/>
        </w:rPr>
        <w:t xml:space="preserve">Folgen Sie Mimaki EMEA auf </w:t>
      </w:r>
      <w:r w:rsidRPr="001F5404">
        <w:rPr>
          <w:rFonts w:eastAsia="MS Mincho"/>
          <w:noProof/>
        </w:rPr>
        <w:drawing>
          <wp:inline distT="0" distB="0" distL="0" distR="0" wp14:anchorId="4F7B2B83" wp14:editId="43411675">
            <wp:extent cx="123825" cy="123825"/>
            <wp:effectExtent l="0" t="0" r="9525" b="9525"/>
            <wp:docPr id="13" name="Picture 13" descr="EskoArtwork on Facebook">
              <a:hlinkClick xmlns:a="http://schemas.openxmlformats.org/drawingml/2006/main" r:id="rId10" tgtFrame="_blank" tooltip="&quot;MimakiEurop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skoArtwork on Facebook">
                      <a:hlinkClick r:id="rId10" tgtFrame="_blank" tooltip="„MimakiEurope auf Facebook“"/>
                    </pic:cNvPr>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23825" cy="123825"/>
                    </a:xfrm>
                    <a:prstGeom prst="rect">
                      <a:avLst/>
                    </a:prstGeom>
                    <a:noFill/>
                    <a:ln>
                      <a:noFill/>
                    </a:ln>
                  </pic:spPr>
                </pic:pic>
              </a:graphicData>
            </a:graphic>
          </wp:inline>
        </w:drawing>
      </w:r>
      <w:r w:rsidRPr="001F5404">
        <w:rPr>
          <w:rFonts w:ascii="Arial" w:eastAsia="MS Mincho" w:hAnsi="Arial"/>
          <w:sz w:val="20"/>
        </w:rPr>
        <w:t xml:space="preserve"> </w:t>
      </w:r>
      <w:r w:rsidRPr="001F5404">
        <w:rPr>
          <w:rFonts w:eastAsia="MS Mincho"/>
          <w:noProof/>
        </w:rPr>
        <w:drawing>
          <wp:inline distT="0" distB="0" distL="0" distR="0" wp14:anchorId="3307667D" wp14:editId="3DF39709">
            <wp:extent cx="123825" cy="123825"/>
            <wp:effectExtent l="0" t="0" r="9525" b="9525"/>
            <wp:docPr id="14" name="Picture 14" descr="EskoArtwork on Twitter">
              <a:hlinkClick xmlns:a="http://schemas.openxmlformats.org/drawingml/2006/main" r:id="rId12" tgtFrame="_blank" tooltip="&quot;MimakiEurope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skoArtwork on Twitter">
                      <a:hlinkClick r:id="rId12" tgtFrame="_blank" tooltip="„MimakiEurope auf Twitter“"/>
                    </pic:cNvP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23825" cy="123825"/>
                    </a:xfrm>
                    <a:prstGeom prst="rect">
                      <a:avLst/>
                    </a:prstGeom>
                    <a:noFill/>
                    <a:ln>
                      <a:noFill/>
                    </a:ln>
                  </pic:spPr>
                </pic:pic>
              </a:graphicData>
            </a:graphic>
          </wp:inline>
        </w:drawing>
      </w:r>
      <w:r w:rsidRPr="001F5404">
        <w:rPr>
          <w:rFonts w:ascii="Arial" w:eastAsia="MS Mincho" w:hAnsi="Arial"/>
          <w:sz w:val="20"/>
        </w:rPr>
        <w:t xml:space="preserve"> </w:t>
      </w:r>
      <w:r w:rsidRPr="001F5404">
        <w:rPr>
          <w:rFonts w:eastAsia="MS Mincho"/>
          <w:noProof/>
        </w:rPr>
        <w:drawing>
          <wp:inline distT="0" distB="0" distL="0" distR="0" wp14:anchorId="44F61501" wp14:editId="2F908DF2">
            <wp:extent cx="123825" cy="123825"/>
            <wp:effectExtent l="0" t="0" r="9525" b="9525"/>
            <wp:docPr id="15" name="Picture 15" descr="EskoArtwork on LinkedIn">
              <a:hlinkClick xmlns:a="http://schemas.openxmlformats.org/drawingml/2006/main" r:id="rId14" tgtFrame="_blank" tooltip="&quot;MimakiEurope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skoArtwork on LinkedIn">
                      <a:hlinkClick r:id="rId14" tgtFrame="_blank" tooltip="„MimakiEurope auf LinkedIn“"/>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23825" cy="123825"/>
                    </a:xfrm>
                    <a:prstGeom prst="rect">
                      <a:avLst/>
                    </a:prstGeom>
                    <a:noFill/>
                    <a:ln>
                      <a:noFill/>
                    </a:ln>
                  </pic:spPr>
                </pic:pic>
              </a:graphicData>
            </a:graphic>
          </wp:inline>
        </w:drawing>
      </w:r>
      <w:r w:rsidRPr="001F5404">
        <w:rPr>
          <w:rFonts w:ascii="Arial" w:eastAsia="MS Mincho" w:hAnsi="Arial"/>
          <w:sz w:val="20"/>
        </w:rPr>
        <w:t xml:space="preserve"> </w:t>
      </w:r>
      <w:r w:rsidRPr="001F5404">
        <w:rPr>
          <w:rFonts w:eastAsia="MS Mincho"/>
          <w:noProof/>
        </w:rPr>
        <w:drawing>
          <wp:inline distT="0" distB="0" distL="0" distR="0" wp14:anchorId="57A25ACC" wp14:editId="0A8234CE">
            <wp:extent cx="123825" cy="152400"/>
            <wp:effectExtent l="0" t="0" r="9525" b="0"/>
            <wp:docPr id="16" name="Picture 16" descr="EskoArtwork on YouTube">
              <a:hlinkClick xmlns:a="http://schemas.openxmlformats.org/drawingml/2006/main" r:id="rId16" tgtFrame="_blank" tooltip="&quot;MimakiEurope's YouTube Cha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skoArtwork on YouTube">
                      <a:hlinkClick r:id="rId16" tgtFrame="_blank" tooltip="„YouTube-Kanal von MimakiEurope“"/>
                    </pic:cNvPr>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23825" cy="152400"/>
                    </a:xfrm>
                    <a:prstGeom prst="rect">
                      <a:avLst/>
                    </a:prstGeom>
                    <a:noFill/>
                    <a:ln>
                      <a:noFill/>
                    </a:ln>
                  </pic:spPr>
                </pic:pic>
              </a:graphicData>
            </a:graphic>
          </wp:inline>
        </w:drawing>
      </w:r>
      <w:r w:rsidRPr="001F5404">
        <w:rPr>
          <w:rFonts w:ascii="Arial" w:eastAsia="MS Mincho" w:hAnsi="Arial"/>
          <w:sz w:val="20"/>
        </w:rPr>
        <w:t xml:space="preserve">. </w:t>
      </w:r>
    </w:p>
    <w:p w14:paraId="0D7A11E0" w14:textId="77777777" w:rsidR="00993F89" w:rsidRPr="001F5404" w:rsidRDefault="00993F89" w:rsidP="00993F89">
      <w:pPr>
        <w:spacing w:afterLines="30" w:after="72"/>
        <w:ind w:rightChars="120" w:right="252"/>
        <w:rPr>
          <w:rFonts w:ascii="Arial" w:eastAsia="MS Mincho" w:hAnsi="Arial" w:cs="Arial"/>
          <w:b/>
          <w:sz w:val="20"/>
        </w:rPr>
      </w:pPr>
    </w:p>
    <w:p w14:paraId="1F0C7C31" w14:textId="77777777" w:rsidR="00993F89" w:rsidRPr="001F5404" w:rsidRDefault="00993F89" w:rsidP="00993F89">
      <w:pPr>
        <w:spacing w:afterLines="30" w:after="72"/>
        <w:ind w:rightChars="120" w:right="252"/>
        <w:rPr>
          <w:rFonts w:ascii="Arial" w:eastAsia="MS Mincho" w:hAnsi="Arial" w:cs="Arial"/>
          <w:b/>
          <w:sz w:val="20"/>
          <w:lang w:val="en-US"/>
        </w:rPr>
      </w:pPr>
      <w:proofErr w:type="spellStart"/>
      <w:r w:rsidRPr="001F5404">
        <w:rPr>
          <w:rFonts w:ascii="Arial" w:eastAsia="MS Mincho" w:hAnsi="Arial"/>
          <w:b/>
          <w:sz w:val="20"/>
          <w:lang w:val="en-US"/>
        </w:rPr>
        <w:t>Ansprechpartner</w:t>
      </w:r>
      <w:proofErr w:type="spellEnd"/>
      <w:r w:rsidRPr="001F5404">
        <w:rPr>
          <w:rFonts w:ascii="Arial" w:eastAsia="MS Mincho" w:hAnsi="Arial"/>
          <w:b/>
          <w:sz w:val="20"/>
          <w:lang w:val="en-US"/>
        </w:rPr>
        <w:t>:</w:t>
      </w:r>
    </w:p>
    <w:p w14:paraId="3D053805" w14:textId="77777777" w:rsidR="00993F89" w:rsidRPr="001F5404" w:rsidRDefault="00993F89" w:rsidP="00993F89">
      <w:pPr>
        <w:rPr>
          <w:rFonts w:ascii="Arial" w:eastAsia="MS Mincho" w:hAnsi="Arial" w:cs="Arial"/>
          <w:sz w:val="20"/>
          <w:lang w:val="en-US"/>
        </w:rPr>
      </w:pPr>
      <w:r w:rsidRPr="001F5404">
        <w:rPr>
          <w:rFonts w:ascii="Arial" w:eastAsia="MS Mincho" w:hAnsi="Arial"/>
          <w:sz w:val="20"/>
          <w:lang w:val="en-US"/>
        </w:rPr>
        <w:t xml:space="preserve">Danna Drion, </w:t>
      </w:r>
      <w:r>
        <w:rPr>
          <w:rFonts w:ascii="Arial" w:eastAsia="MS Mincho" w:hAnsi="Arial"/>
          <w:sz w:val="20"/>
          <w:lang w:val="en-US"/>
        </w:rPr>
        <w:t xml:space="preserve">Senior </w:t>
      </w:r>
      <w:r w:rsidRPr="001F5404">
        <w:rPr>
          <w:rFonts w:ascii="Arial" w:eastAsia="MS Mincho" w:hAnsi="Arial"/>
          <w:sz w:val="20"/>
          <w:lang w:val="en-US"/>
        </w:rPr>
        <w:t>Marketing Manager EMEA, Mimaki Europe B.V.,</w:t>
      </w:r>
    </w:p>
    <w:p w14:paraId="0C42F7F4" w14:textId="77777777" w:rsidR="00993F89" w:rsidRPr="00F97899" w:rsidRDefault="00993F89" w:rsidP="00993F89">
      <w:pPr>
        <w:rPr>
          <w:rFonts w:ascii="Arial" w:eastAsia="MS Mincho" w:hAnsi="Arial" w:cs="Arial"/>
          <w:sz w:val="20"/>
        </w:rPr>
      </w:pPr>
      <w:r w:rsidRPr="00F97899">
        <w:rPr>
          <w:rFonts w:ascii="Arial" w:eastAsia="MS Mincho" w:hAnsi="Arial"/>
          <w:sz w:val="20"/>
        </w:rPr>
        <w:t xml:space="preserve">Tel: +31 20 462 79 42, E-Mail: </w:t>
      </w:r>
      <w:hyperlink r:id="rId18" w:history="1">
        <w:r w:rsidRPr="005950D8">
          <w:rPr>
            <w:rStyle w:val="Hyperlink"/>
            <w:rFonts w:ascii="Arial" w:hAnsi="Arial" w:cs="Arial"/>
          </w:rPr>
          <w:t>d.drion@emea.mimaki.com</w:t>
        </w:r>
      </w:hyperlink>
      <w:r w:rsidRPr="00F97899">
        <w:rPr>
          <w:rFonts w:ascii="Arial" w:eastAsia="MS Mincho" w:hAnsi="Arial"/>
          <w:sz w:val="20"/>
        </w:rPr>
        <w:t xml:space="preserve"> </w:t>
      </w:r>
    </w:p>
    <w:p w14:paraId="002F00D8" w14:textId="77777777" w:rsidR="00993F89" w:rsidRPr="00F97899" w:rsidRDefault="00993F89" w:rsidP="00993F89">
      <w:pPr>
        <w:rPr>
          <w:rFonts w:ascii="Arial" w:eastAsia="MS Mincho" w:hAnsi="Arial" w:cs="Arial"/>
          <w:sz w:val="20"/>
        </w:rPr>
      </w:pPr>
    </w:p>
    <w:p w14:paraId="26401099" w14:textId="77777777" w:rsidR="00993F89" w:rsidRPr="001F5404" w:rsidRDefault="00993F89" w:rsidP="00993F89">
      <w:pPr>
        <w:rPr>
          <w:rFonts w:ascii="Arial" w:eastAsia="MS Mincho" w:hAnsi="Arial" w:cs="Arial"/>
          <w:sz w:val="20"/>
          <w:lang w:val="en-US"/>
        </w:rPr>
      </w:pPr>
      <w:r w:rsidRPr="001F5404">
        <w:rPr>
          <w:rFonts w:ascii="Arial" w:eastAsia="MS Mincho" w:hAnsi="Arial"/>
          <w:sz w:val="20"/>
          <w:lang w:val="en-US"/>
        </w:rPr>
        <w:t>Ivan Lesmana, Communication Coordinator EMEA, Mimaki Europe B.V.,</w:t>
      </w:r>
    </w:p>
    <w:p w14:paraId="02C984EB" w14:textId="77777777" w:rsidR="00993F89" w:rsidRPr="001F5404" w:rsidRDefault="00993F89" w:rsidP="00993F89">
      <w:pPr>
        <w:rPr>
          <w:rFonts w:ascii="Arial" w:eastAsia="MS Mincho" w:hAnsi="Arial" w:cs="Arial"/>
          <w:sz w:val="20"/>
        </w:rPr>
      </w:pPr>
      <w:r w:rsidRPr="001F5404">
        <w:rPr>
          <w:rFonts w:ascii="Arial" w:eastAsia="MS Mincho" w:hAnsi="Arial"/>
          <w:sz w:val="20"/>
        </w:rPr>
        <w:t xml:space="preserve">Tel.: +31 20 462 79 42, E-Mail: </w:t>
      </w:r>
      <w:hyperlink r:id="rId19" w:history="1">
        <w:r w:rsidRPr="005E56ED">
          <w:rPr>
            <w:rStyle w:val="Hyperlink"/>
            <w:rFonts w:ascii="Arial" w:hAnsi="Arial" w:cs="Arial"/>
          </w:rPr>
          <w:t>i.lesmana@emea.mimaki.com</w:t>
        </w:r>
      </w:hyperlink>
    </w:p>
    <w:p w14:paraId="07FCEA3D" w14:textId="77777777" w:rsidR="00993F89" w:rsidRPr="001F5404" w:rsidRDefault="00993F89" w:rsidP="00993F89">
      <w:pPr>
        <w:rPr>
          <w:rFonts w:ascii="Arial" w:eastAsia="MS Mincho" w:hAnsi="Arial" w:cs="Arial"/>
          <w:b/>
          <w:sz w:val="20"/>
        </w:rPr>
      </w:pPr>
    </w:p>
    <w:p w14:paraId="0CB2E8DA" w14:textId="77777777" w:rsidR="00993F89" w:rsidRDefault="00993F89" w:rsidP="00993F89">
      <w:pPr>
        <w:rPr>
          <w:rFonts w:ascii="Arial" w:eastAsia="MS Mincho" w:hAnsi="Arial" w:cs="Arial"/>
          <w:sz w:val="20"/>
          <w:lang w:val="en-US"/>
        </w:rPr>
      </w:pPr>
      <w:r w:rsidRPr="004F0F41">
        <w:rPr>
          <w:rFonts w:ascii="Arial" w:eastAsia="MS Mincho" w:hAnsi="Arial"/>
          <w:sz w:val="20"/>
          <w:lang w:val="en-US"/>
        </w:rPr>
        <w:t xml:space="preserve">Fumi Machida, </w:t>
      </w:r>
      <w:r w:rsidRPr="00153D90">
        <w:rPr>
          <w:rFonts w:ascii="Arial" w:eastAsia="MS Mincho" w:hAnsi="Arial" w:cs="Arial"/>
          <w:sz w:val="20"/>
          <w:lang w:val="en-US"/>
        </w:rPr>
        <w:t>Communication Coordinator DACH, Mimaki Deutschland GmbH</w:t>
      </w:r>
    </w:p>
    <w:p w14:paraId="469BB0A1" w14:textId="77777777" w:rsidR="00993F89" w:rsidRPr="00F97899" w:rsidRDefault="00993F89" w:rsidP="00993F89">
      <w:pPr>
        <w:rPr>
          <w:rStyle w:val="Hyperlink"/>
          <w:rFonts w:ascii="Arial" w:hAnsi="Arial" w:cs="Arial"/>
          <w:lang w:val="en-US"/>
        </w:rPr>
      </w:pPr>
      <w:r w:rsidRPr="004F0F41">
        <w:rPr>
          <w:rFonts w:ascii="Arial" w:eastAsia="MS Mincho" w:hAnsi="Arial"/>
          <w:sz w:val="20"/>
          <w:lang w:val="en-US"/>
        </w:rPr>
        <w:t xml:space="preserve">Tel.: </w:t>
      </w:r>
      <w:r w:rsidRPr="00F97899">
        <w:rPr>
          <w:rFonts w:ascii="Arial" w:eastAsia="MS Mincho" w:hAnsi="Arial" w:cs="Arial"/>
          <w:sz w:val="20"/>
          <w:lang w:val="en-US"/>
        </w:rPr>
        <w:t xml:space="preserve">+49 89 437 481 126, E-Mail: </w:t>
      </w:r>
      <w:hyperlink r:id="rId20" w:history="1">
        <w:r w:rsidRPr="00F97899">
          <w:rPr>
            <w:rStyle w:val="Hyperlink"/>
            <w:rFonts w:ascii="Arial" w:hAnsi="Arial" w:cs="Arial"/>
            <w:lang w:val="en-US"/>
          </w:rPr>
          <w:t>f.machida@emea.mimaki.com</w:t>
        </w:r>
      </w:hyperlink>
    </w:p>
    <w:p w14:paraId="5DD3D8F8" w14:textId="77777777" w:rsidR="00993F89" w:rsidRPr="00F97899" w:rsidRDefault="00993F89" w:rsidP="00993F89">
      <w:pPr>
        <w:rPr>
          <w:rFonts w:ascii="Arial" w:hAnsi="Arial" w:cs="Arial"/>
          <w:sz w:val="20"/>
          <w:lang w:val="en-US"/>
        </w:rPr>
      </w:pPr>
    </w:p>
    <w:p w14:paraId="23379C27" w14:textId="77777777" w:rsidR="00993F89" w:rsidRPr="001F5404" w:rsidRDefault="00993F89" w:rsidP="00993F89">
      <w:pPr>
        <w:rPr>
          <w:rFonts w:ascii="Arial" w:eastAsia="MS Mincho" w:hAnsi="Arial" w:cs="Arial"/>
          <w:sz w:val="20"/>
          <w:lang w:val="en-US"/>
        </w:rPr>
      </w:pPr>
      <w:r w:rsidRPr="00BA3B1A">
        <w:rPr>
          <w:rFonts w:ascii="Arial" w:eastAsia="MS Mincho" w:hAnsi="Arial"/>
          <w:sz w:val="20"/>
          <w:lang w:val="en-US"/>
        </w:rPr>
        <w:t>Clare Porter, Associate Director, Bespoke</w:t>
      </w:r>
    </w:p>
    <w:p w14:paraId="276E59E3" w14:textId="77777777" w:rsidR="00993F89" w:rsidRPr="001F5404" w:rsidRDefault="00993F89" w:rsidP="00993F89">
      <w:pPr>
        <w:rPr>
          <w:rFonts w:ascii="Arial" w:eastAsia="MS Mincho" w:hAnsi="Arial" w:cs="Arial"/>
          <w:sz w:val="20"/>
        </w:rPr>
      </w:pPr>
      <w:r w:rsidRPr="001F5404">
        <w:rPr>
          <w:rFonts w:ascii="Arial" w:eastAsia="MS Mincho" w:hAnsi="Arial"/>
          <w:sz w:val="20"/>
        </w:rPr>
        <w:t xml:space="preserve">Tel.: +44 1737 215200, E-Mail: </w:t>
      </w:r>
      <w:hyperlink r:id="rId21" w:history="1">
        <w:r w:rsidRPr="00AB52F8">
          <w:rPr>
            <w:rStyle w:val="Hyperlink"/>
            <w:rFonts w:ascii="Arial" w:eastAsia="MS Mincho" w:hAnsi="Arial"/>
          </w:rPr>
          <w:t>clare@bespoke.co.uk</w:t>
        </w:r>
      </w:hyperlink>
    </w:p>
    <w:p w14:paraId="5FF51171" w14:textId="1102CC45" w:rsidR="008004F8" w:rsidRPr="00993F89" w:rsidRDefault="008004F8">
      <w:pPr>
        <w:rPr>
          <w:rFonts w:ascii="Arial" w:hAnsi="Arial" w:cs="Arial"/>
          <w:snapToGrid w:val="0"/>
          <w:color w:val="000000"/>
          <w:position w:val="-2"/>
          <w:sz w:val="19"/>
          <w:szCs w:val="19"/>
        </w:rPr>
      </w:pPr>
    </w:p>
    <w:sectPr w:rsidR="008004F8" w:rsidRPr="00993F89" w:rsidSect="00BE2A4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4115" w14:textId="77777777" w:rsidR="00400B7A" w:rsidRDefault="00400B7A" w:rsidP="00DE24F3">
      <w:r>
        <w:separator/>
      </w:r>
    </w:p>
  </w:endnote>
  <w:endnote w:type="continuationSeparator" w:id="0">
    <w:p w14:paraId="4D96CA14" w14:textId="77777777" w:rsidR="00400B7A" w:rsidRDefault="00400B7A" w:rsidP="00DE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41FC" w14:textId="77777777" w:rsidR="00400B7A" w:rsidRDefault="00400B7A" w:rsidP="00DE24F3">
      <w:r>
        <w:separator/>
      </w:r>
    </w:p>
  </w:footnote>
  <w:footnote w:type="continuationSeparator" w:id="0">
    <w:p w14:paraId="42B7D999" w14:textId="77777777" w:rsidR="00400B7A" w:rsidRDefault="00400B7A" w:rsidP="00DE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57"/>
    <w:rsid w:val="00015605"/>
    <w:rsid w:val="0001684A"/>
    <w:rsid w:val="000301FC"/>
    <w:rsid w:val="000A73DC"/>
    <w:rsid w:val="000E6623"/>
    <w:rsid w:val="001541E3"/>
    <w:rsid w:val="00164FB6"/>
    <w:rsid w:val="00175CC3"/>
    <w:rsid w:val="001E1029"/>
    <w:rsid w:val="001F6010"/>
    <w:rsid w:val="002261AE"/>
    <w:rsid w:val="0030372F"/>
    <w:rsid w:val="003526BC"/>
    <w:rsid w:val="003A64EE"/>
    <w:rsid w:val="003A65C5"/>
    <w:rsid w:val="003C47DE"/>
    <w:rsid w:val="003C75A1"/>
    <w:rsid w:val="00400B7A"/>
    <w:rsid w:val="00563B0E"/>
    <w:rsid w:val="005C4F15"/>
    <w:rsid w:val="005F0CEB"/>
    <w:rsid w:val="006313EF"/>
    <w:rsid w:val="00656A0B"/>
    <w:rsid w:val="00664A4A"/>
    <w:rsid w:val="006A26A6"/>
    <w:rsid w:val="006B1365"/>
    <w:rsid w:val="00710E51"/>
    <w:rsid w:val="00767AB9"/>
    <w:rsid w:val="00777B57"/>
    <w:rsid w:val="007923EE"/>
    <w:rsid w:val="007A0FAD"/>
    <w:rsid w:val="008004F8"/>
    <w:rsid w:val="008037CC"/>
    <w:rsid w:val="00810901"/>
    <w:rsid w:val="00877F6C"/>
    <w:rsid w:val="008D7C12"/>
    <w:rsid w:val="008E535B"/>
    <w:rsid w:val="00904643"/>
    <w:rsid w:val="00935C97"/>
    <w:rsid w:val="0097282D"/>
    <w:rsid w:val="00977DF4"/>
    <w:rsid w:val="00993F89"/>
    <w:rsid w:val="009A0423"/>
    <w:rsid w:val="009A76B8"/>
    <w:rsid w:val="009C67A2"/>
    <w:rsid w:val="00A17EF6"/>
    <w:rsid w:val="00A543B2"/>
    <w:rsid w:val="00A66885"/>
    <w:rsid w:val="00AA462E"/>
    <w:rsid w:val="00AE3CC9"/>
    <w:rsid w:val="00AF09F4"/>
    <w:rsid w:val="00AF7CE6"/>
    <w:rsid w:val="00B063DF"/>
    <w:rsid w:val="00B34E55"/>
    <w:rsid w:val="00B770B2"/>
    <w:rsid w:val="00BE2A4D"/>
    <w:rsid w:val="00C35035"/>
    <w:rsid w:val="00C513BF"/>
    <w:rsid w:val="00C56A38"/>
    <w:rsid w:val="00C66146"/>
    <w:rsid w:val="00C802EB"/>
    <w:rsid w:val="00D07653"/>
    <w:rsid w:val="00D13A2E"/>
    <w:rsid w:val="00D334CE"/>
    <w:rsid w:val="00DB6479"/>
    <w:rsid w:val="00DC5B01"/>
    <w:rsid w:val="00DE24F3"/>
    <w:rsid w:val="00E45F28"/>
    <w:rsid w:val="00E97ABD"/>
    <w:rsid w:val="00ED3944"/>
    <w:rsid w:val="00F166B6"/>
    <w:rsid w:val="00F94D19"/>
    <w:rsid w:val="00FC6FB0"/>
    <w:rsid w:val="00FE4C7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A7B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57"/>
    <w:pPr>
      <w:widowControl w:val="0"/>
      <w:jc w:val="both"/>
    </w:pPr>
    <w:rPr>
      <w:rFonts w:ascii="Century" w:eastAsia="MS PMincho" w:hAnsi="Century"/>
      <w:kern w:val="2"/>
      <w:sz w:val="2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B57"/>
    <w:rPr>
      <w:color w:val="0563C1" w:themeColor="hyperlink"/>
      <w:u w:val="single"/>
    </w:rPr>
  </w:style>
  <w:style w:type="character" w:styleId="FollowedHyperlink">
    <w:name w:val="FollowedHyperlink"/>
    <w:basedOn w:val="DefaultParagraphFont"/>
    <w:uiPriority w:val="99"/>
    <w:semiHidden/>
    <w:unhideWhenUsed/>
    <w:rsid w:val="00B34E55"/>
    <w:rPr>
      <w:color w:val="954F72" w:themeColor="followedHyperlink"/>
      <w:u w:val="single"/>
    </w:rPr>
  </w:style>
  <w:style w:type="character" w:styleId="CommentReference">
    <w:name w:val="annotation reference"/>
    <w:basedOn w:val="DefaultParagraphFont"/>
    <w:uiPriority w:val="99"/>
    <w:semiHidden/>
    <w:unhideWhenUsed/>
    <w:rsid w:val="006313EF"/>
    <w:rPr>
      <w:sz w:val="16"/>
      <w:szCs w:val="16"/>
    </w:rPr>
  </w:style>
  <w:style w:type="paragraph" w:styleId="CommentText">
    <w:name w:val="annotation text"/>
    <w:basedOn w:val="Normal"/>
    <w:link w:val="CommentTextChar"/>
    <w:uiPriority w:val="99"/>
    <w:semiHidden/>
    <w:unhideWhenUsed/>
    <w:rsid w:val="006313EF"/>
    <w:rPr>
      <w:sz w:val="20"/>
    </w:rPr>
  </w:style>
  <w:style w:type="character" w:customStyle="1" w:styleId="CommentTextChar">
    <w:name w:val="Comment Text Char"/>
    <w:basedOn w:val="DefaultParagraphFont"/>
    <w:link w:val="CommentText"/>
    <w:uiPriority w:val="99"/>
    <w:semiHidden/>
    <w:rsid w:val="006313EF"/>
    <w:rPr>
      <w:rFonts w:ascii="Century" w:eastAsia="MS PMincho" w:hAnsi="Century"/>
      <w:kern w:val="2"/>
      <w:sz w:val="20"/>
      <w:szCs w:val="20"/>
      <w:lang w:val="de-DE" w:eastAsia="ja-JP"/>
    </w:rPr>
  </w:style>
  <w:style w:type="paragraph" w:styleId="CommentSubject">
    <w:name w:val="annotation subject"/>
    <w:basedOn w:val="CommentText"/>
    <w:next w:val="CommentText"/>
    <w:link w:val="CommentSubjectChar"/>
    <w:uiPriority w:val="99"/>
    <w:semiHidden/>
    <w:unhideWhenUsed/>
    <w:rsid w:val="006313EF"/>
    <w:rPr>
      <w:b/>
      <w:bCs/>
    </w:rPr>
  </w:style>
  <w:style w:type="character" w:customStyle="1" w:styleId="CommentSubjectChar">
    <w:name w:val="Comment Subject Char"/>
    <w:basedOn w:val="CommentTextChar"/>
    <w:link w:val="CommentSubject"/>
    <w:uiPriority w:val="99"/>
    <w:semiHidden/>
    <w:rsid w:val="006313EF"/>
    <w:rPr>
      <w:rFonts w:ascii="Century" w:eastAsia="MS PMincho" w:hAnsi="Century"/>
      <w:b/>
      <w:bCs/>
      <w:kern w:val="2"/>
      <w:sz w:val="20"/>
      <w:szCs w:val="20"/>
      <w:lang w:val="de-DE" w:eastAsia="ja-JP"/>
    </w:rPr>
  </w:style>
  <w:style w:type="paragraph" w:styleId="BalloonText">
    <w:name w:val="Balloon Text"/>
    <w:basedOn w:val="Normal"/>
    <w:link w:val="BalloonTextChar"/>
    <w:uiPriority w:val="99"/>
    <w:semiHidden/>
    <w:unhideWhenUsed/>
    <w:rsid w:val="0063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3EF"/>
    <w:rPr>
      <w:rFonts w:ascii="Segoe UI" w:eastAsia="MS PMincho" w:hAnsi="Segoe UI" w:cs="Segoe UI"/>
      <w:kern w:val="2"/>
      <w:sz w:val="18"/>
      <w:szCs w:val="18"/>
      <w:lang w:val="de-DE" w:eastAsia="ja-JP"/>
    </w:rPr>
  </w:style>
  <w:style w:type="paragraph" w:styleId="Header">
    <w:name w:val="header"/>
    <w:basedOn w:val="Normal"/>
    <w:link w:val="HeaderChar"/>
    <w:uiPriority w:val="99"/>
    <w:unhideWhenUsed/>
    <w:rsid w:val="00DE24F3"/>
    <w:pPr>
      <w:tabs>
        <w:tab w:val="center" w:pos="4536"/>
        <w:tab w:val="right" w:pos="9072"/>
      </w:tabs>
    </w:pPr>
  </w:style>
  <w:style w:type="character" w:customStyle="1" w:styleId="HeaderChar">
    <w:name w:val="Header Char"/>
    <w:basedOn w:val="DefaultParagraphFont"/>
    <w:link w:val="Header"/>
    <w:uiPriority w:val="99"/>
    <w:rsid w:val="00DE24F3"/>
    <w:rPr>
      <w:rFonts w:ascii="Century" w:eastAsia="MS PMincho" w:hAnsi="Century"/>
      <w:kern w:val="2"/>
      <w:sz w:val="21"/>
      <w:szCs w:val="20"/>
      <w:lang w:val="de-DE" w:eastAsia="ja-JP"/>
    </w:rPr>
  </w:style>
  <w:style w:type="paragraph" w:styleId="Footer">
    <w:name w:val="footer"/>
    <w:basedOn w:val="Normal"/>
    <w:link w:val="FooterChar"/>
    <w:uiPriority w:val="99"/>
    <w:unhideWhenUsed/>
    <w:rsid w:val="00DE24F3"/>
    <w:pPr>
      <w:tabs>
        <w:tab w:val="center" w:pos="4536"/>
        <w:tab w:val="right" w:pos="9072"/>
      </w:tabs>
    </w:pPr>
  </w:style>
  <w:style w:type="character" w:customStyle="1" w:styleId="FooterChar">
    <w:name w:val="Footer Char"/>
    <w:basedOn w:val="DefaultParagraphFont"/>
    <w:link w:val="Footer"/>
    <w:uiPriority w:val="99"/>
    <w:rsid w:val="00DE24F3"/>
    <w:rPr>
      <w:rFonts w:ascii="Century" w:eastAsia="MS PMincho" w:hAnsi="Century"/>
      <w:kern w:val="2"/>
      <w:sz w:val="21"/>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akieurope.com" TargetMode="External"/><Relationship Id="rId13" Type="http://schemas.openxmlformats.org/officeDocument/2006/relationships/image" Target="media/image4.png"/><Relationship Id="rId18" Type="http://schemas.openxmlformats.org/officeDocument/2006/relationships/hyperlink" Target="mailto:d.drion@emea.mimaki.com" TargetMode="External"/><Relationship Id="rId3" Type="http://schemas.openxmlformats.org/officeDocument/2006/relationships/webSettings" Target="webSettings.xml"/><Relationship Id="rId21" Type="http://schemas.openxmlformats.org/officeDocument/2006/relationships/hyperlink" Target="mailto:clare@bespoke.co.uk" TargetMode="External"/><Relationship Id="rId7" Type="http://schemas.openxmlformats.org/officeDocument/2006/relationships/hyperlink" Target="https://www.mimakieurope.com/" TargetMode="External"/><Relationship Id="rId12" Type="http://schemas.openxmlformats.org/officeDocument/2006/relationships/hyperlink" Target="https://twitter.com/MimakiEurope"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www.youtube.com/user/MimakiEurope" TargetMode="External"/><Relationship Id="rId20" Type="http://schemas.openxmlformats.org/officeDocument/2006/relationships/hyperlink" Target="mailto:f.machida@emea.mimaki.com"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facebook.com/mimakiEU" TargetMode="External"/><Relationship Id="rId19" Type="http://schemas.openxmlformats.org/officeDocument/2006/relationships/hyperlink" Target="mailto:i.lesmana@emea.mimaki.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linkedin.com/company/mimaki-europe-b.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2021-04-20T13:51:00Z</dcterms:created>
  <dcterms:modified xsi:type="dcterms:W3CDTF">2021-04-20T13:51:00Z</dcterms:modified>
</cp:coreProperties>
</file>